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98" w:rsidRPr="00D21448" w:rsidRDefault="00647298" w:rsidP="006D2B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21448">
        <w:rPr>
          <w:rFonts w:ascii="Times New Roman" w:hAnsi="Times New Roman" w:cs="Times New Roman"/>
          <w:sz w:val="18"/>
          <w:szCs w:val="18"/>
        </w:rPr>
        <w:t>Приложение 5</w:t>
      </w:r>
    </w:p>
    <w:p w:rsidR="00647298" w:rsidRPr="00D21448" w:rsidRDefault="00647298" w:rsidP="006D2B6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1448">
        <w:rPr>
          <w:rFonts w:ascii="Times New Roman" w:hAnsi="Times New Roman" w:cs="Times New Roman"/>
          <w:b/>
          <w:bCs/>
          <w:sz w:val="18"/>
          <w:szCs w:val="18"/>
        </w:rPr>
        <w:t>Материально-технические условия реализации образовательной программы</w:t>
      </w:r>
    </w:p>
    <w:p w:rsidR="00647298" w:rsidRPr="00D21448" w:rsidRDefault="00647298" w:rsidP="006D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 xml:space="preserve">по направлению подготовки (специальности) </w:t>
      </w:r>
      <w:r w:rsidR="001D12DA"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38.03.01 Экономика</w:t>
      </w:r>
    </w:p>
    <w:p w:rsidR="00647298" w:rsidRPr="00D21448" w:rsidRDefault="00647298" w:rsidP="006D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 xml:space="preserve">профиль подготовки (направленность) </w:t>
      </w:r>
      <w:r w:rsidR="001D12DA"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Финансы и кредит</w:t>
      </w:r>
    </w:p>
    <w:p w:rsidR="00647298" w:rsidRPr="00D21448" w:rsidRDefault="001D12DA" w:rsidP="006D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очная, заочная, очно-заочная</w:t>
      </w:r>
      <w:r w:rsidR="00647298"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 xml:space="preserve"> форм</w:t>
      </w:r>
      <w:r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ы</w:t>
      </w:r>
      <w:r w:rsidR="00647298"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 xml:space="preserve"> обучения, </w:t>
      </w:r>
      <w:r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 xml:space="preserve"> 202</w:t>
      </w:r>
      <w:r w:rsidR="00AD137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1</w:t>
      </w:r>
      <w:r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 xml:space="preserve"> </w:t>
      </w:r>
      <w:r w:rsidR="00647298" w:rsidRPr="00D2144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год набора</w:t>
      </w:r>
    </w:p>
    <w:p w:rsidR="00647298" w:rsidRPr="00D21448" w:rsidRDefault="00647298" w:rsidP="006D2B61">
      <w:pPr>
        <w:pStyle w:val="a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1"/>
        <w:tblW w:w="15021" w:type="dxa"/>
        <w:tblBorders>
          <w:bottom w:val="none" w:sz="0" w:space="0" w:color="auto"/>
        </w:tblBorders>
        <w:tblLook w:val="04A0"/>
      </w:tblPr>
      <w:tblGrid>
        <w:gridCol w:w="531"/>
        <w:gridCol w:w="2299"/>
        <w:gridCol w:w="9356"/>
        <w:gridCol w:w="2835"/>
      </w:tblGrid>
      <w:tr w:rsidR="00647298" w:rsidRPr="00D21448" w:rsidTr="00D21448">
        <w:trPr>
          <w:trHeight w:val="1864"/>
          <w:tblHeader/>
        </w:trPr>
        <w:tc>
          <w:tcPr>
            <w:tcW w:w="531" w:type="dxa"/>
          </w:tcPr>
          <w:p w:rsidR="00647298" w:rsidRPr="00D21448" w:rsidRDefault="00647298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9" w:type="dxa"/>
          </w:tcPr>
          <w:p w:rsidR="00647298" w:rsidRPr="00D21448" w:rsidRDefault="00647298" w:rsidP="006D2B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9356" w:type="dxa"/>
          </w:tcPr>
          <w:p w:rsidR="00647298" w:rsidRPr="00D21448" w:rsidRDefault="00647298" w:rsidP="006D2B6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2835" w:type="dxa"/>
          </w:tcPr>
          <w:p w:rsidR="00647298" w:rsidRPr="00D21448" w:rsidRDefault="00647298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647298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647298" w:rsidRPr="00D21448" w:rsidRDefault="00647298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9" w:type="dxa"/>
          </w:tcPr>
          <w:p w:rsidR="00647298" w:rsidRPr="00D21448" w:rsidRDefault="00647298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</w:tcPr>
          <w:p w:rsidR="00647298" w:rsidRPr="00D21448" w:rsidRDefault="00647298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647298" w:rsidRPr="00D21448" w:rsidRDefault="00647298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F4C36" w:rsidRPr="00D21448" w:rsidTr="00D21448">
        <w:tblPrEx>
          <w:tblBorders>
            <w:bottom w:val="single" w:sz="4" w:space="0" w:color="auto"/>
          </w:tblBorders>
        </w:tblPrEx>
        <w:tc>
          <w:tcPr>
            <w:tcW w:w="531" w:type="dxa"/>
          </w:tcPr>
          <w:p w:rsidR="002F4C36" w:rsidRPr="006D2B61" w:rsidRDefault="006D2B61" w:rsidP="006D2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36" w:rsidRPr="00D21448" w:rsidRDefault="002F4C36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356" w:type="dxa"/>
          </w:tcPr>
          <w:p w:rsidR="002F4C36" w:rsidRPr="00D21448" w:rsidRDefault="002F4C36" w:rsidP="006D2B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Спортивный зал здания учебного корпуса №1</w:t>
            </w:r>
          </w:p>
          <w:p w:rsidR="002F4C36" w:rsidRPr="00D21448" w:rsidRDefault="002F4C36" w:rsidP="006D2B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Зал ЛФК: </w:t>
            </w:r>
            <w:r w:rsidR="00307D08"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</w:t>
            </w: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ведские стенки, гимнастические скамейки, степ платформы, обручи, гантели</w:t>
            </w:r>
            <w:proofErr w:type="gramStart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какалки, коврики, гимнастические палки, </w:t>
            </w:r>
            <w:proofErr w:type="spellStart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медболы</w:t>
            </w:r>
            <w:proofErr w:type="spellEnd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ростомер, весы.</w:t>
            </w:r>
          </w:p>
          <w:p w:rsidR="002F4C36" w:rsidRPr="00D21448" w:rsidRDefault="002F4C36" w:rsidP="006D2B6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Тренажерный зал общефизической подготовки: </w:t>
            </w:r>
            <w:r w:rsidR="00307D08"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столы для настольного тенниса, </w:t>
            </w: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тренажеры, спортивные снаряды, спортивный инвентарь.</w:t>
            </w:r>
          </w:p>
          <w:p w:rsidR="002F4C36" w:rsidRPr="00D21448" w:rsidRDefault="002F4C36" w:rsidP="006D2B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Открытый стадион широкого профиля с элементами полосы препятствий: элементы полосы препятствий, беговые дорожки, инвентарь спортивный.</w:t>
            </w:r>
          </w:p>
        </w:tc>
        <w:tc>
          <w:tcPr>
            <w:tcW w:w="2835" w:type="dxa"/>
          </w:tcPr>
          <w:p w:rsidR="00BF0450" w:rsidRPr="00D21448" w:rsidRDefault="002F4C36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385000, </w:t>
            </w:r>
          </w:p>
          <w:p w:rsidR="00BF0450" w:rsidRPr="00D21448" w:rsidRDefault="002F4C36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Республика Адыгея, </w:t>
            </w:r>
          </w:p>
          <w:p w:rsidR="00BF0450" w:rsidRPr="00D21448" w:rsidRDefault="002F4C36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Майкоп, ул. Первомайская, </w:t>
            </w:r>
          </w:p>
          <w:p w:rsidR="002F4C36" w:rsidRPr="00D21448" w:rsidRDefault="002F4C36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 № 191</w:t>
            </w:r>
          </w:p>
          <w:p w:rsidR="002F4C36" w:rsidRPr="00D21448" w:rsidRDefault="002F4C36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F4C36" w:rsidRPr="00D21448" w:rsidRDefault="002F4C36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385000, Республика Адыгея, г. Майкоп, ул. Гагарина, дом № 7</w:t>
            </w:r>
          </w:p>
        </w:tc>
      </w:tr>
      <w:tr w:rsidR="002F4C36" w:rsidRPr="00D21448" w:rsidTr="00D21448">
        <w:tblPrEx>
          <w:tblBorders>
            <w:bottom w:val="single" w:sz="4" w:space="0" w:color="auto"/>
          </w:tblBorders>
        </w:tblPrEx>
        <w:tc>
          <w:tcPr>
            <w:tcW w:w="531" w:type="dxa"/>
          </w:tcPr>
          <w:p w:rsidR="002F4C36" w:rsidRPr="006D2B61" w:rsidRDefault="006D2B61" w:rsidP="006D2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36" w:rsidRPr="00D21448" w:rsidRDefault="002F4C36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9356" w:type="dxa"/>
          </w:tcPr>
          <w:p w:rsidR="002F4C36" w:rsidRPr="00D21448" w:rsidRDefault="002F4C36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Мультимедийная языковая лаборатория инновационных технологий (1-316):</w:t>
            </w:r>
          </w:p>
          <w:p w:rsidR="002F4C36" w:rsidRPr="00D21448" w:rsidRDefault="00952B32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F4C36"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чебная мебель на 28 посадочных мест, доска, </w:t>
            </w:r>
            <w:r w:rsidR="00307D08" w:rsidRPr="00D214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F4C36" w:rsidRPr="00D21448">
              <w:rPr>
                <w:rFonts w:ascii="Times New Roman" w:hAnsi="Times New Roman" w:cs="Times New Roman"/>
                <w:sz w:val="18"/>
                <w:szCs w:val="18"/>
              </w:rPr>
              <w:t>ультимедийное оборудование, наборы демонстрационного оборудования, учебно-наглядные пособия, обеспечивающие тематические иллюстрации, учебные кинофильмы, таблицы по грамматике, справочная литература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2B32" w:rsidRPr="00D21448" w:rsidRDefault="00952B32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Многофункциональная языковая лаборатория (1-320): компьютерное оснащение на 20 посадочных мест, компьютерные программы, стационарные учебные наглядные пособия, таблицы по грамматике, справочная литература.</w:t>
            </w:r>
          </w:p>
        </w:tc>
        <w:tc>
          <w:tcPr>
            <w:tcW w:w="2835" w:type="dxa"/>
          </w:tcPr>
          <w:p w:rsidR="00BF0450" w:rsidRPr="00D21448" w:rsidRDefault="00307D08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BF0450" w:rsidRPr="00D21448" w:rsidRDefault="00307D08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BF0450" w:rsidRPr="00D21448" w:rsidRDefault="00307D08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г. Майкоп, ул. Первомайская, </w:t>
            </w:r>
          </w:p>
          <w:p w:rsidR="002F4C36" w:rsidRPr="00D21448" w:rsidRDefault="00307D08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дом № 191</w:t>
            </w:r>
          </w:p>
        </w:tc>
      </w:tr>
      <w:tr w:rsidR="002F4C36" w:rsidRPr="00D21448" w:rsidTr="00D21448">
        <w:tblPrEx>
          <w:tblBorders>
            <w:bottom w:val="single" w:sz="4" w:space="0" w:color="auto"/>
          </w:tblBorders>
        </w:tblPrEx>
        <w:trPr>
          <w:trHeight w:val="697"/>
          <w:tblHeader/>
        </w:trPr>
        <w:tc>
          <w:tcPr>
            <w:tcW w:w="531" w:type="dxa"/>
          </w:tcPr>
          <w:p w:rsidR="002F4C36" w:rsidRPr="00D21448" w:rsidRDefault="006F6B45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9" w:type="dxa"/>
          </w:tcPr>
          <w:p w:rsidR="002F4C36" w:rsidRPr="00D21448" w:rsidRDefault="006F6B45" w:rsidP="006D2B6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Основы военной подготовки</w:t>
            </w:r>
          </w:p>
        </w:tc>
        <w:tc>
          <w:tcPr>
            <w:tcW w:w="9356" w:type="dxa"/>
          </w:tcPr>
          <w:p w:rsidR="00684415" w:rsidRPr="00D21448" w:rsidRDefault="00684415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Кабинет криминалистики (1-311): специализированная мебель, 26 посадочных мест, компьютерное и мультимедийное оборудование (проектор, ноутбук), чемодан для осмотра места происшествия, лента ограждения (100 м), краска для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дактилоскопирования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45 г., паста очищающая (100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), набор люминофоров 25 г. (5 цветов), дактилоскопическая пленка 12/15 (10 листов), сканер дактилоскопический 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Папилон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ДС-30Н, макеты (муляжи) огнестрельного оружия, макеты (муляжи) холодного оружия, автоматизированная система создания субъективных портретов «Контур фоторобот» 10 и более пользователей, «Ситуационный конструктор» виртуальный осмотр места происшествия (учебно-методический комплекс)</w:t>
            </w:r>
            <w:r w:rsidR="00E36B59" w:rsidRPr="00D214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36B59" w:rsidRPr="00D21448" w:rsidRDefault="00E36B59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Кабинет безопасности жизнедеятельности (4-126): Рабочее место преподавателя, рабочие места по количеству обучающихся, комплекты индивидуальных средств защиты, контрольно-измерительные приборы и приборы безопасности; огнетушитель порошковый (учебный), огнетушитель углекислотный (учебный), учебные автоматы АК-74, винтовки пневматические, медицинская аптечка, технические средства обучения:  компьютер, проектор, экран,  макет</w:t>
            </w:r>
            <w:proofErr w:type="gram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тренажеры - «Искандер», «Александр 001», «Максим».</w:t>
            </w:r>
          </w:p>
          <w:p w:rsidR="00E36B59" w:rsidRPr="00D21448" w:rsidRDefault="00A13333" w:rsidP="006D2B6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Станция № 2 «Экстренная медицинская помощь»</w:t>
            </w:r>
            <w:r w:rsidR="00615273"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(6-208)</w:t>
            </w:r>
            <w:r w:rsidR="00C61AD7"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Набор травм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Simulaids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Casualtykit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816; Медицинский образовательный робот-симулятор VI уровня реалистичности APP0036</w:t>
            </w:r>
          </w:p>
        </w:tc>
        <w:tc>
          <w:tcPr>
            <w:tcW w:w="2835" w:type="dxa"/>
          </w:tcPr>
          <w:p w:rsidR="00E36B59" w:rsidRPr="00D21448" w:rsidRDefault="00E36B59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385000, </w:t>
            </w:r>
          </w:p>
          <w:p w:rsidR="00E36B59" w:rsidRPr="00D21448" w:rsidRDefault="00E36B59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Республика Адыгея, </w:t>
            </w:r>
          </w:p>
          <w:p w:rsidR="00E36B59" w:rsidRPr="00D21448" w:rsidRDefault="00E36B59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Майкоп, ул. Первомайская, </w:t>
            </w:r>
          </w:p>
          <w:p w:rsidR="00E36B59" w:rsidRPr="00D21448" w:rsidRDefault="00E36B59" w:rsidP="006D2B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 № 191</w:t>
            </w:r>
          </w:p>
          <w:p w:rsidR="00E36B59" w:rsidRPr="00D21448" w:rsidRDefault="00E36B59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B59" w:rsidRPr="00D21448" w:rsidRDefault="00E36B59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F9A" w:rsidRPr="00D21448" w:rsidRDefault="00057F9A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55E" w:rsidRPr="00D21448" w:rsidRDefault="00ED655E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D655E" w:rsidRPr="00D21448" w:rsidRDefault="00ED655E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2F4C36" w:rsidRPr="00D21448" w:rsidRDefault="00ED655E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Крестьянская, дом</w:t>
            </w:r>
            <w:r w:rsidR="00C61AD7"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№ 2, стр.3</w:t>
            </w:r>
          </w:p>
          <w:p w:rsidR="00C61AD7" w:rsidRPr="00D21448" w:rsidRDefault="00C61AD7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AD7" w:rsidRPr="00D21448" w:rsidRDefault="00C61AD7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AD7" w:rsidRPr="00D21448" w:rsidRDefault="00C61AD7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684415" w:rsidRPr="00D21448" w:rsidRDefault="00C61AD7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Республика Адыгея, г. Майкоп, ул. Комсомольская, дом № 222</w:t>
            </w:r>
          </w:p>
        </w:tc>
      </w:tr>
      <w:tr w:rsidR="00020F09" w:rsidRPr="00020F0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0FB" w:rsidRPr="00020F09" w:rsidRDefault="006D2B61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0F0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99" w:type="dxa"/>
          </w:tcPr>
          <w:p w:rsidR="00E230FB" w:rsidRPr="00020F09" w:rsidRDefault="00E230FB" w:rsidP="006D2B61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20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9356" w:type="dxa"/>
          </w:tcPr>
          <w:p w:rsidR="00E230FB" w:rsidRPr="00020F09" w:rsidRDefault="00E230FB" w:rsidP="006D2B61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30FB" w:rsidRPr="00020F09" w:rsidRDefault="00E230FB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30FB" w:rsidRPr="007832E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0FB" w:rsidRPr="007832EC" w:rsidRDefault="006D2B61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9" w:type="dxa"/>
          </w:tcPr>
          <w:p w:rsidR="00E230FB" w:rsidRPr="007832EC" w:rsidRDefault="00E230FB" w:rsidP="006D2B6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9356" w:type="dxa"/>
          </w:tcPr>
          <w:p w:rsidR="00E230FB" w:rsidRPr="007832EC" w:rsidRDefault="006D2B61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и семинарского типов (5-5-11)</w:t>
            </w:r>
            <w:proofErr w:type="gram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мебель на 32 посадочных места, доска, мультимедийное оборудование (проектор, экран))</w:t>
            </w:r>
          </w:p>
          <w:p w:rsidR="006D2B61" w:rsidRPr="007832EC" w:rsidRDefault="006D2B61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и семинарского типов (5-5-19) (Учебная мебель на 30 посадочных мест, доска, мультимедийное оборудование (проектор, экран)</w:t>
            </w:r>
          </w:p>
          <w:p w:rsidR="006D2B61" w:rsidRPr="007832EC" w:rsidRDefault="006D2B61" w:rsidP="006D2B6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Лаборатория научно-методического проектирования (5-5-15) (Учебная мебель на 6 посадочных мест, 3 компьютерных рабочих места, МФУ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SCX-4200, принтер HP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Laser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Jet1010,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мультимедийное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оборудование)</w:t>
            </w:r>
          </w:p>
        </w:tc>
        <w:tc>
          <w:tcPr>
            <w:tcW w:w="2835" w:type="dxa"/>
          </w:tcPr>
          <w:p w:rsidR="006D2B61" w:rsidRPr="007832EC" w:rsidRDefault="006D2B61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6D2B61" w:rsidRPr="007832EC" w:rsidRDefault="006D2B61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6D2B61" w:rsidRPr="007832EC" w:rsidRDefault="006D2B61" w:rsidP="006D2B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0FB" w:rsidRPr="007832EC" w:rsidRDefault="00E230FB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30FB" w:rsidRPr="007832E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0FB" w:rsidRPr="007832EC" w:rsidRDefault="006D2B61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99" w:type="dxa"/>
          </w:tcPr>
          <w:p w:rsidR="00E230FB" w:rsidRPr="007832EC" w:rsidRDefault="00E230FB" w:rsidP="006D2B6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9356" w:type="dxa"/>
          </w:tcPr>
          <w:p w:rsidR="00E230FB" w:rsidRPr="007832EC" w:rsidRDefault="007832EC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Учебные аудитории для проведения занятий лекционного типа, оснащённые оборудование и техническими средствами обучения: ауд. 5-11, 5-16, 5-19 (Переносное мультимедийное оборудование, доска, мебель для аудиторий на 20 посадочных мест, рабочее место преподавателя)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Помещения для самостоятельной работы (1-Читальный зал ФГБОУ ВО «МГТУ»), Мебель на 150 посадочных мест, компьютерное оснащение с выходом в Интернет на 30 посадочных мест, специализированная мебель (стулья, столы, шкафы, шкафы выставочные), мультимедийное оборудование, оргтехника (принтеры, сканеры, ксерокс)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для хранения и профилактического обслуживания оборудования: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информационно-техническии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̆ отдел (технические средства обучения, служащие для предоставления учебной̆ информации большой̆ аудитории)</w:t>
            </w:r>
          </w:p>
        </w:tc>
        <w:tc>
          <w:tcPr>
            <w:tcW w:w="2835" w:type="dxa"/>
          </w:tcPr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0FB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0FB" w:rsidRPr="007832E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0FB" w:rsidRPr="007832EC" w:rsidRDefault="006D2B61" w:rsidP="006D2B61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9" w:type="dxa"/>
          </w:tcPr>
          <w:p w:rsidR="00E230FB" w:rsidRPr="007832EC" w:rsidRDefault="00E230FB" w:rsidP="006D2B61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9356" w:type="dxa"/>
          </w:tcPr>
          <w:p w:rsidR="00E230FB" w:rsidRPr="007832EC" w:rsidRDefault="007832EC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и семинарского типов (5-5-21) (Учебная мебель на 28 посадочных мест, доска, мультимедийное оборудование (проектор, экран)</w:t>
            </w:r>
          </w:p>
          <w:p w:rsidR="007832EC" w:rsidRPr="007832EC" w:rsidRDefault="007832EC" w:rsidP="006D2B6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семинарского типа (5-5-22) (Учебная мебель на 28 посадочных мест, доска, мультимедийное оборудование (проектор, экран)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Помещения для самостоятельной работы (1-Читальный зал ФГБОУ ВО «МГТУ»), Мебель на 150 посадочных мест, компьютерное оснащение с выходом в Интернет на 30 посадочных мест, специализированная мебель (стулья, столы, шкафы, шкафы выставочные), мультимедийное оборудование, оргтехника (принтеры, сканеры, ксерокс)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для хранения и профилактического обслуживания оборудования: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информационно-техническии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̆ отдел (технические средства обучения, служащие для предоставления учебной̆ информации большой̆ аудитории)</w:t>
            </w:r>
          </w:p>
        </w:tc>
        <w:tc>
          <w:tcPr>
            <w:tcW w:w="2835" w:type="dxa"/>
          </w:tcPr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0FB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7832EC" w:rsidRPr="007832E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99" w:type="dxa"/>
          </w:tcPr>
          <w:p w:rsidR="007832EC" w:rsidRPr="007832EC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Социология</w:t>
            </w:r>
          </w:p>
        </w:tc>
        <w:tc>
          <w:tcPr>
            <w:tcW w:w="9356" w:type="dxa"/>
          </w:tcPr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Аудитория для практических занятий, групповых и индивидуальных консультаций, текущего контроля и промежуточной аттестации, оснащённые оборудование и техническими средствами обучения: ауд. 5-14, 5-21, 5-22, 5-23 (Переносное мультимедийное оборудование, доска, мебель для аудиторий на 20 посадочных мест, рабочее место преподавателя)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Помещения для самостоятельной работы (1-Читальный зал ФГБОУ ВО «МГТУ»), Мебель на 150 посадочных мест, компьютерное оснащение с выходом в Интернет на 30 посадочных мест, специализированная мебель (стулья, столы, шкафы, шкафы выставочные), мультимедийное оборудование, оргтехника (принтеры, сканеры, ксерокс)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для хранения и профилактического обслуживания оборудования: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информационно-техническии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̆ отдел (технические средства обучения, служащие для предоставления учебной̆ информации большой̆ аудитории)</w:t>
            </w:r>
          </w:p>
        </w:tc>
        <w:tc>
          <w:tcPr>
            <w:tcW w:w="2835" w:type="dxa"/>
          </w:tcPr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7832EC" w:rsidRPr="007832E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99" w:type="dxa"/>
          </w:tcPr>
          <w:p w:rsidR="007832EC" w:rsidRPr="007832EC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9356" w:type="dxa"/>
          </w:tcPr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типа (5-16) (Учебная мебель на 54 посадочных места, доска, мультимедийное оборудование (проектор, экран)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семинарского типа (5-22)</w:t>
            </w:r>
            <w:proofErr w:type="gram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Учебная мебель на 28 посадочных мест, доска, мультимедийное оборудование (проектор, экран)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Помещения для самостоятельной работы (1-Читальный зал ФГБОУ ВО «МГТУ»), Мебель на 150 посадочных мест, компьютерное оснащение с выходом в Интернет на 30 посадочных мест, специализированная мебель (стулья, столы, шкафы, шкафы выставочные), мультимедийное оборудование, оргтехника (принтеры, сканеры, ксерокс)</w:t>
            </w:r>
          </w:p>
          <w:p w:rsidR="007832EC" w:rsidRPr="007832EC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для хранения и профилактического обслуживания оборудования: </w:t>
            </w:r>
            <w:proofErr w:type="spellStart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информационно-техническии</w:t>
            </w:r>
            <w:proofErr w:type="spellEnd"/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̆ отдел (технические средства обучения, служащие для предоставления учебной̆ информации большой̆ аудитории)</w:t>
            </w:r>
          </w:p>
        </w:tc>
        <w:tc>
          <w:tcPr>
            <w:tcW w:w="2835" w:type="dxa"/>
          </w:tcPr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7832EC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7832EC" w:rsidRPr="00A24B30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A24B30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99" w:type="dxa"/>
          </w:tcPr>
          <w:p w:rsidR="007832EC" w:rsidRPr="00A24B30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История и культура 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адыгов</w:t>
            </w:r>
            <w:proofErr w:type="spellEnd"/>
          </w:p>
        </w:tc>
        <w:tc>
          <w:tcPr>
            <w:tcW w:w="9356" w:type="dxa"/>
          </w:tcPr>
          <w:p w:rsidR="007832EC" w:rsidRPr="00A24B30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Учебные аудитории для проведения занятий лекционного типа: № ауд.313</w:t>
            </w:r>
            <w:r w:rsidR="00A24B30"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 (Аудитория для практических занятий, групповых и индивидуальных консультаций, текущего контроля и промежуточной аттестации)</w:t>
            </w:r>
          </w:p>
          <w:p w:rsidR="00A24B30" w:rsidRPr="00A24B30" w:rsidRDefault="00A24B30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Аудитория для практических занятий, групповых и индивидуальных консультаций, текущего контроля и промежуточной аттестации: № ауд.311 (Переносное мультимедийное оборудование, доска, мебель для аудиторий. 1. Операционная система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», договор 0376100002715000045-0018439-01 от 19.06.2015; свободно распространяемое (бесплатное не требующее лицензирования) программное обеспечение: 1. Программа для воспроизведения аудио и видео файлов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VLCmediaplayer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»; 2. Программа для воспроизведения аудио и видео файлов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K-litecodec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»; 3. Офисный пакет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WPSoffice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»; 4. Программа для работы с архивами «7zip»; 5. Программа для работы с документами формата .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Adobereader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  <w:p w:rsidR="00A24B30" w:rsidRPr="00A24B30" w:rsidRDefault="00A24B30" w:rsidP="00A24B30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для самостоятельной работы В качестве помещения для самостоятельной работы может использоваться читальный зал (Переносное 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мультимедийное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оборудование, компьютеры 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Pentium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 с выходом в Интернет. 1. Операционная система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Windows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», договор 0376100002715000045-0018439-01 от 19.06.2015; свободно распространяемое (бесплатное не требующее лицензирования) программное обеспечение: 1. Программа для воспроизведения аудио и видео файлов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VLCmediaplayer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»; 2. Программа для воспроизведения аудио и видео файлов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K-litecodec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»; 3. Офисный пакет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WPSoffice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»; 4. Программа для работы с архивами «7zip»; 5. Программа для работы с документами формата .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Adobereader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835" w:type="dxa"/>
          </w:tcPr>
          <w:p w:rsidR="00A24B30" w:rsidRPr="00A24B30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A24B30" w:rsidRPr="00A24B30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A24B30" w:rsidRDefault="00A24B30" w:rsidP="00A24B30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7832EC" w:rsidRPr="00A24B30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A24B30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99" w:type="dxa"/>
          </w:tcPr>
          <w:p w:rsidR="007832EC" w:rsidRPr="00A24B30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Адыгейский язык</w:t>
            </w:r>
          </w:p>
        </w:tc>
        <w:tc>
          <w:tcPr>
            <w:tcW w:w="9356" w:type="dxa"/>
          </w:tcPr>
          <w:p w:rsidR="007832EC" w:rsidRPr="00A24B30" w:rsidRDefault="00A24B30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Учебные аудитории для проведения занятий лекционного типа, оснащенные оборудованием и техническими средствами обучения ауд. 5-21 (Учебная мебель на 28 посадочных мест, доска, мультимедийное оборудование (проектор, экран)</w:t>
            </w:r>
          </w:p>
          <w:p w:rsidR="00A24B30" w:rsidRPr="00A24B30" w:rsidRDefault="00A24B30" w:rsidP="00A24B3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Аудитория для практических занятий, групповых и индивидуальных консультаций. Текущего контроля и промежуточной аттестации, оснащенные оборудованием и техническими средствами, ауд. 5-22 (Учебная мебель на 28 посадочных мест, доска, мультимедийное оборудование (проектор, экран)</w:t>
            </w:r>
          </w:p>
          <w:p w:rsidR="00A24B30" w:rsidRPr="00A24B30" w:rsidRDefault="00A24B30" w:rsidP="00A24B3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Помещения для самостоятельной работы (1-Читальный зал ФГБОУ ВО «МГТУ»), Мебель на 150 посадочных мест, компьютерное оснащение с выходом в Интернет на 30 посадочных мест, специализированная мебель (стулья, столы, шкафы, шкафы выставочные), мультимедийное оборудование, оргтехника (принтеры, сканеры, ксерокс)</w:t>
            </w:r>
          </w:p>
          <w:p w:rsidR="00A24B30" w:rsidRPr="00A24B30" w:rsidRDefault="00A24B30" w:rsidP="00A24B30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для хранения и профилактического обслуживания оборудования: </w:t>
            </w:r>
            <w:proofErr w:type="spellStart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информационно-техническии</w:t>
            </w:r>
            <w:proofErr w:type="spellEnd"/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̆ отдел (технические средства обучения, служащие для предоставления учебной̆ информации большой̆ аудитории)</w:t>
            </w:r>
          </w:p>
        </w:tc>
        <w:tc>
          <w:tcPr>
            <w:tcW w:w="2835" w:type="dxa"/>
          </w:tcPr>
          <w:p w:rsidR="00A24B30" w:rsidRPr="007832EC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A24B30" w:rsidRPr="007832EC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2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A24B30" w:rsidRPr="00A24B30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г. Майкоп ул. Жуковского, 30.</w:t>
            </w:r>
          </w:p>
          <w:p w:rsidR="00A24B30" w:rsidRDefault="00A24B30" w:rsidP="00A24B30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4B30" w:rsidRDefault="00A24B30" w:rsidP="00A24B30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4B30" w:rsidRDefault="00A24B30" w:rsidP="00A24B30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4B30" w:rsidRPr="00A24B30" w:rsidRDefault="00A24B30" w:rsidP="00A24B30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4B30" w:rsidRPr="00A24B30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A24B30" w:rsidRPr="00A24B30" w:rsidRDefault="00A24B30" w:rsidP="00A24B3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A24B30" w:rsidRDefault="00A24B30" w:rsidP="00A24B30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B30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7832E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D21448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99" w:type="dxa"/>
          </w:tcPr>
          <w:p w:rsidR="007832EC" w:rsidRPr="00D21448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356" w:type="dxa"/>
          </w:tcPr>
          <w:p w:rsidR="007832EC" w:rsidRPr="00D21448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Учебная мебель на 30 посадочных мест, доска, мультимедийное оборудование (проектор, экран); Учебная аудитория для проведения занятий лекционного и семинарского типов (5-5-19), </w:t>
            </w:r>
          </w:p>
          <w:p w:rsidR="007832EC" w:rsidRPr="00D21448" w:rsidRDefault="007832EC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Помещения для самостоятельной работы (1-Читальный зал ФГБОУ ВО «МГТУ»), Мебель на 150 посадочных мест, компьютерное оснащение с выходом в Интернет на 30 посадочных мест, специализированная мебель (стулья, столы, шкафы, шкафы выставочные), мультимедийное оборудование, оргтехника (принтеры, сканеры, ксерокс)</w:t>
            </w:r>
          </w:p>
          <w:p w:rsidR="007832EC" w:rsidRPr="00D21448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для хранения и профилактического обслуживания оборудования: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информационно-техническии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̆ отдел (технические средства обучения, служащие для предоставления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учебнои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̆ информации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большои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̆ аудитории)</w:t>
            </w:r>
          </w:p>
        </w:tc>
        <w:tc>
          <w:tcPr>
            <w:tcW w:w="2835" w:type="dxa"/>
          </w:tcPr>
          <w:p w:rsidR="007832EC" w:rsidRPr="00D21448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D21448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D21448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7832EC" w:rsidRPr="00D21448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2EC" w:rsidRPr="00D21448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7832EC" w:rsidRPr="00D21448" w:rsidRDefault="007832EC" w:rsidP="007832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D21448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7832EC" w:rsidRPr="006619D5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6619D5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99" w:type="dxa"/>
          </w:tcPr>
          <w:p w:rsidR="007832EC" w:rsidRPr="006619D5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9356" w:type="dxa"/>
          </w:tcPr>
          <w:p w:rsidR="006619D5" w:rsidRPr="006619D5" w:rsidRDefault="006619D5" w:rsidP="007832E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Учебные аудитории для проведения занятий лекционного типа, оснащённые оборудование и техническими средствами обучения: ауд. 5-11, 5-16, 5-19 (Переносное мультимедийное оборудование, доска, мебель для аудиторий на 20 посадочных мест, рабочее место преподавателя)</w:t>
            </w:r>
            <w:r w:rsidR="00E236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Аудитория для практических занятий, групповых и индивидуальных консультаций, текущего контроля и промежуточной аттестации, оснащённые оборудование и техническими средствами обучения: ауд. 5-14, 5-21, 5-22, 5-23 (Переносное мультимедийное оборудование, доска, мебель для аудиторий на 20 посадочных мест, рабочее место преподавателя)</w:t>
            </w:r>
            <w:r w:rsidR="00E236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Лаборатория научно-методического проектирования: кафедра финансов и кредита, </w:t>
            </w:r>
            <w:proofErr w:type="spellStart"/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. 5-23 (Переносное мультимедийное оборудование, мебель для аудиторий)</w:t>
            </w:r>
          </w:p>
          <w:p w:rsidR="006619D5" w:rsidRPr="006619D5" w:rsidRDefault="006619D5" w:rsidP="007832E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6619D5" w:rsidRPr="006619D5" w:rsidRDefault="006619D5" w:rsidP="006619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7832EC" w:rsidRPr="006619D5" w:rsidRDefault="006619D5" w:rsidP="006619D5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020F09" w:rsidRPr="00020F0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7832EC" w:rsidRPr="00020F09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0F0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99" w:type="dxa"/>
          </w:tcPr>
          <w:p w:rsidR="007832EC" w:rsidRPr="00020F09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20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9356" w:type="dxa"/>
          </w:tcPr>
          <w:p w:rsidR="007832EC" w:rsidRPr="00020F09" w:rsidRDefault="007832EC" w:rsidP="007832EC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832EC" w:rsidRPr="00020F09" w:rsidRDefault="007832EC" w:rsidP="007832EC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Концепции современного естествознания</w:t>
            </w:r>
          </w:p>
        </w:tc>
        <w:tc>
          <w:tcPr>
            <w:tcW w:w="9356" w:type="dxa"/>
          </w:tcPr>
          <w:p w:rsidR="00E23679" w:rsidRPr="00E23679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Учебные аудитории для проведения занятий лекционного типа, оснащённые оборудованием и техническими средствами обучения: ауд. 5-11, 5-16, 5-19 (Переносное мультимедийное оборудование, доска, мебель для аудиторий на 20 посадочных мест, рабочее место преподавателя) Аудитория для практических занятий, групповых и индивидуальных консультаций, текущего контроля и промежуточной аттестации, оснащённые оборудование и техническими средствами обучения: ауд. 5-14, 5-21, 5-22, 5-23 (Переносное мультимедийное оборудование, доска, мебель для аудиторий на 20 посадочных мест, рабочее место преподавателя)</w:t>
            </w:r>
          </w:p>
          <w:p w:rsidR="00E23679" w:rsidRPr="00E2367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6619D5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9D5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Основы финансов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020F09" w:rsidRPr="00020F0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020F0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0F0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299" w:type="dxa"/>
          </w:tcPr>
          <w:p w:rsidR="00E23679" w:rsidRPr="00020F0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20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Теоретические основы товароведения</w:t>
            </w:r>
          </w:p>
        </w:tc>
        <w:tc>
          <w:tcPr>
            <w:tcW w:w="9356" w:type="dxa"/>
          </w:tcPr>
          <w:p w:rsidR="00E23679" w:rsidRPr="00020F0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3679" w:rsidRPr="00020F0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Теория государственного и муниципального управления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и семинарского типов (5-5-11): Учебная мебель на 32 посадочных места, доска, мультимедийное оборудование (проектор, экран); Учебная аудитория для проведения занятий лекционного и семинарского типов (5-5-19): Учебная мебель на 30 посадочных мест, доска, мультимедийное оборудование (проектор, экран) Учебная аудитория для выполнения курсового и дипломного проектирования, научно-исследовательской работы обучающихся (5-5-23): Учебная мебель на 28 посадочных мест, доска, мультимедийное оборудование (проектор, экран).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ксероксы); Помещение для проведения мероприятий воспитательной направленности (Актовый зал университета с акустическим и мультимедийным оборудованием.)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020F09" w:rsidRPr="00020F0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020F0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0F0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2299" w:type="dxa"/>
          </w:tcPr>
          <w:p w:rsidR="00E23679" w:rsidRPr="00020F0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20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Теория менеджмента</w:t>
            </w:r>
          </w:p>
        </w:tc>
        <w:tc>
          <w:tcPr>
            <w:tcW w:w="9356" w:type="dxa"/>
          </w:tcPr>
          <w:p w:rsidR="00E23679" w:rsidRPr="00020F0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3679" w:rsidRPr="00020F0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3679" w:rsidRPr="00E2367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E2367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99" w:type="dxa"/>
          </w:tcPr>
          <w:p w:rsidR="00E23679" w:rsidRPr="00E2367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</w:p>
        </w:tc>
        <w:tc>
          <w:tcPr>
            <w:tcW w:w="9356" w:type="dxa"/>
          </w:tcPr>
          <w:p w:rsidR="00E23679" w:rsidRPr="00E23679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каб.5-16; Аудитория для практических занятий, групповых и индивидуальных консультаций, текущего контроля и промежуточной аттестации: каб.5-11; кабинет кафедры конституционного строительства и государственного и муниципального управления </w:t>
            </w:r>
            <w:proofErr w:type="spellStart"/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. 5-15)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Компьютерный класс: каб.5-23 (Учебная мебель на 26 посадочных места, доска, стенды, наглядные пособия, справочная литература.)</w:t>
            </w:r>
          </w:p>
          <w:p w:rsidR="00E23679" w:rsidRPr="00E2367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ксероксы); Помещение для проведения мероприятий воспитательной направленности (Актовый зал университета с акустическим и мультимедийным оборудованием.)</w:t>
            </w:r>
          </w:p>
        </w:tc>
        <w:tc>
          <w:tcPr>
            <w:tcW w:w="2835" w:type="dxa"/>
          </w:tcPr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типа (5-5-16),</w:t>
            </w:r>
            <w:proofErr w:type="gram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Учебная мебель на 54 посадочных места, доска, мультимедийное оборудование (проектор, экран))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Международные валютно-кредитные отношения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Анализ деятельности экономических субъектов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Бухгалтерский учет и анализ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Теория отраслевых рынков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E2367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E2367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99" w:type="dxa"/>
          </w:tcPr>
          <w:p w:rsidR="00E23679" w:rsidRPr="00E2367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Эконометрика</w:t>
            </w:r>
          </w:p>
        </w:tc>
        <w:tc>
          <w:tcPr>
            <w:tcW w:w="9356" w:type="dxa"/>
          </w:tcPr>
          <w:p w:rsidR="002D4276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и семинарского типов (5-5-11) (Учебная мебель на 32 посадочных места, доска, мультимедийное оборудование (проектор, экран). Учебная аудитория для проведения занятий лекционного и семинарского типов (5-5-19) (Учебная мебель на 30 посадочных мест, доска, мультимедийное оборудование (проектор, экран)</w:t>
            </w:r>
            <w:r w:rsidR="002D4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23679" w:rsidRPr="002D4276" w:rsidRDefault="002D4276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23679" w:rsidRPr="00E23679">
              <w:rPr>
                <w:rFonts w:ascii="Times New Roman" w:hAnsi="Times New Roman" w:cs="Times New Roman"/>
                <w:sz w:val="18"/>
                <w:szCs w:val="18"/>
              </w:rPr>
              <w:t>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E2367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679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2D4276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2D4276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99" w:type="dxa"/>
          </w:tcPr>
          <w:p w:rsidR="00E23679" w:rsidRPr="002D4276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>Макроэкономика</w:t>
            </w:r>
          </w:p>
        </w:tc>
        <w:tc>
          <w:tcPr>
            <w:tcW w:w="9356" w:type="dxa"/>
          </w:tcPr>
          <w:p w:rsidR="00E23679" w:rsidRPr="002D4276" w:rsidRDefault="002D4276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 xml:space="preserve">Учебная аудитория для проведения занятий лекционного и семинарского типов (5-5-11) (учебная мебель на 32 посадочных места, доска, мультимедийное оборудование (проектор, экран) </w:t>
            </w:r>
          </w:p>
          <w:p w:rsidR="002D4276" w:rsidRPr="002D4276" w:rsidRDefault="002D4276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а.318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2D4276" w:rsidRPr="002D4276" w:rsidRDefault="002D4276" w:rsidP="002D42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 xml:space="preserve">385000, Республика Адыгея, </w:t>
            </w:r>
          </w:p>
          <w:p w:rsidR="002D4276" w:rsidRPr="002D4276" w:rsidRDefault="002D4276" w:rsidP="002D42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2D4276" w:rsidRPr="002D4276" w:rsidRDefault="002D4276" w:rsidP="002D42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2D4276" w:rsidRPr="002D4276" w:rsidRDefault="002D4276" w:rsidP="002D427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2D4276" w:rsidRDefault="002D4276" w:rsidP="002D427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276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E23679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99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Бизнес-планирование</w:t>
            </w:r>
          </w:p>
        </w:tc>
        <w:tc>
          <w:tcPr>
            <w:tcW w:w="9356" w:type="dxa"/>
          </w:tcPr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E23679" w:rsidRPr="00D21448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E23679" w:rsidRPr="00D21448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020F09" w:rsidRPr="00020F09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E23679" w:rsidRPr="00020F0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r w:rsidRPr="00020F0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299" w:type="dxa"/>
          </w:tcPr>
          <w:p w:rsidR="00E23679" w:rsidRPr="00020F0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20F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Культурология</w:t>
            </w:r>
          </w:p>
        </w:tc>
        <w:tc>
          <w:tcPr>
            <w:tcW w:w="9356" w:type="dxa"/>
          </w:tcPr>
          <w:p w:rsidR="00E23679" w:rsidRPr="00020F09" w:rsidRDefault="00E23679" w:rsidP="00E23679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3679" w:rsidRPr="00020F09" w:rsidRDefault="00E23679" w:rsidP="00E23679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bookmarkEnd w:id="0"/>
      <w:tr w:rsidR="004F71FC" w:rsidRPr="004F71F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4F71FC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99" w:type="dxa"/>
          </w:tcPr>
          <w:p w:rsidR="004F71FC" w:rsidRPr="004F71FC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Методы оптимальных решений</w:t>
            </w:r>
          </w:p>
        </w:tc>
        <w:tc>
          <w:tcPr>
            <w:tcW w:w="9356" w:type="dxa"/>
          </w:tcPr>
          <w:p w:rsidR="004F71FC" w:rsidRPr="004F71FC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Учебная аудитория для проведения занятий лекционного и семинарского типов (5-5-19) (Учебная мебель на 30 посадочных мест, доска, мультимедийное оборудование (проектор, экран)</w:t>
            </w:r>
          </w:p>
          <w:p w:rsidR="004F71FC" w:rsidRPr="004F71FC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а.318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385000, Республика Адыгея, </w:t>
            </w:r>
          </w:p>
          <w:p w:rsidR="004F71FC" w:rsidRP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4F71FC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4F71FC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4F71FC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99" w:type="dxa"/>
          </w:tcPr>
          <w:p w:rsidR="004F71FC" w:rsidRPr="004F71FC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Основы бережливого производства</w:t>
            </w:r>
          </w:p>
        </w:tc>
        <w:tc>
          <w:tcPr>
            <w:tcW w:w="9356" w:type="dxa"/>
          </w:tcPr>
          <w:p w:rsidR="004F71FC" w:rsidRPr="004F71FC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№ ауд. 213, 214 (Стационарное </w:t>
            </w:r>
            <w:proofErr w:type="spellStart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мультимедийное</w:t>
            </w:r>
            <w:proofErr w:type="spellEnd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оборудование, </w:t>
            </w:r>
            <w:proofErr w:type="spellStart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флипчарт</w:t>
            </w:r>
            <w:proofErr w:type="spellEnd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, мебель для аудиторий на 20 посадочных мест, оснащенный компьютером </w:t>
            </w:r>
            <w:proofErr w:type="spellStart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Pentium</w:t>
            </w:r>
            <w:proofErr w:type="spellEnd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 с выходом в Интернет, мебель мобильная на 16 посадочных мест)</w:t>
            </w:r>
          </w:p>
          <w:p w:rsidR="004F71FC" w:rsidRPr="004F71FC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</w:t>
            </w:r>
            <w:proofErr w:type="gramStart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ю(</w:t>
            </w:r>
            <w:proofErr w:type="gramEnd"/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4F71FC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71FC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Деньги, кредит, банки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Рынок ценных бумаг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Ценообразование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Теория налогообложения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Цифровые технологии в профессиональной деятельности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Экономика фирмы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 и спорту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Кабинет 124 для подготовки методического материала «Кафедра физического воспитания»; Спортивный зал для проведения практических занятий; Тренажёрный зал для проведения практических занятий; Большая спортивная площадка для проведения практических занятий территория возле спортзала; Малая спортивная площадка для проведения практических занятий; Территория возле спортзала. Кабинет 321 -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киберкласс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Кабинет 124. Два рабочих места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соргтехникой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Специальное оборудование и инвентарь для игровых видов спорта, общефизической, специальной подготовки и оздоровительной физической культуры. Аудитория 321-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кибер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класс. 7 рабочих мест. Специальное оборудование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иинвентарь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киберспорта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Экономико- математическое моделирование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Экономический анализ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Финансовая среда и предпринимательские риски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Цифровая трансформация отрасли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страховых компаний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Страхование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Оценка стоимости бизнеса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Основы финансовых вычислений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Инвестиции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Проектный практикум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Инвестиционный и инновационный анализ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Бухгалтерский учет в банках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центрального банка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Бюджетное планирование и прогнозирование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Долгосрочная финансовая политика предприятия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Страхование инвестиций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коммерческих банка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99" w:type="dxa"/>
          </w:tcPr>
          <w:p w:rsidR="004F71FC" w:rsidRPr="00D21448" w:rsidRDefault="004F71FC" w:rsidP="004F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Краткосрочная финансовая политика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Переносное мультимедийное оборудование с выходом в интернет, доска, мебель для аудиторий а 20 посадочных мест, рабочее место преподавателя; Компьютер с выходом в интернет, мебель для аудиторий; Технические средства обучения, служащие для предоставления учебной информации большой аудитории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Учебные аудитории для проведения занятий лекционного типа: ауд. 5-11, 5-16, 5-19; Аудитория для практических занятий, групповых и индивидуальных консультаций, текущего контроля и промежуточной аттестации: ауд. 5-21, 5-22, 5-23; 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. 5-23; Помещения для самостоятельной работы: Учебные аудитории для самостоятельной работы: ауд. 5-23;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оборудования: информационно-технический отдел (средства обучения, служащие для предоставления учебной информации большой аудитории); Помещение для самостоятельной работы обучающихся: читальный зал (имеет 150 посадочных мест, компьютерное оснащение с выходом в Интернет на 30 посадочных мест; оснащен специализированной мебелью(столы, стулья, шкафы, шкафы выставочные), стационарное мультимедийное оборудование, оргтехника (принтеры, сканеры, ксероксы)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г. Майкоп, ул. Первомайская,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99" w:type="dxa"/>
          </w:tcPr>
          <w:p w:rsidR="004F71FC" w:rsidRPr="00D21448" w:rsidRDefault="004F71FC" w:rsidP="00CA2D4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eastAsia="Calibri" w:hAnsi="Times New Roman" w:cs="Times New Roman"/>
                <w:sz w:val="18"/>
                <w:szCs w:val="18"/>
              </w:rPr>
              <w:t>Строевая подготовка, военная топография</w:t>
            </w:r>
          </w:p>
        </w:tc>
        <w:tc>
          <w:tcPr>
            <w:tcW w:w="9356" w:type="dxa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Учебная аудитория для проведения занятий лекционного и семинарского типов (1-313): 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Учебная мебель на 44 посадочных места, доска, переносное мультимедийное оборудование (проектор, экран).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Спортивный зал здания учебного корпуса №1.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Зал ЛФК: шведские стенки, гимнастические скамейки, степ платформы, обручи, гантели</w:t>
            </w:r>
            <w:proofErr w:type="gramStart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какалки, коврики, гимнастические палки, </w:t>
            </w:r>
            <w:proofErr w:type="spellStart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медболы</w:t>
            </w:r>
            <w:proofErr w:type="spellEnd"/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ростомер, весы,</w:t>
            </w: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переносной стрелковый тир.</w:t>
            </w:r>
          </w:p>
          <w:p w:rsidR="004F71FC" w:rsidRPr="00D21448" w:rsidRDefault="004F71FC" w:rsidP="004F71F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Тренажерный зал общефизической подготовки: 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столы для настольного тенниса, </w:t>
            </w: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тренажеры, спортивные снаряды, спортивный инвентарь. </w:t>
            </w:r>
          </w:p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Открытый стадион широкого профиля с элементами полосы препятствий: элементы полосы препятствий, беговые дорожки, инвентарь спортивный.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Майкоп, ул. Первомайская,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 № 191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385000, Республика Адыгея, г. Майкоп, ул. Гагарина, дом № 7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655" w:type="dxa"/>
            <w:gridSpan w:val="2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Помещение для самостоятельной работы обучающихся, оснащенное компьютерной техникой и подключением к сети «Интернет» и доступом в ЭИОС (читальный зал ФГБОУ ВО «МГТУ»): компьютерное оснащение с выходом в Интернет на 30 посадочных мест, оснащенные специализированной мебелью (стулья, столы, шкафы, шкафы выставочные), мультимедийное оборудование, оргтехника (принтеры, сканеры, ксерокс).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385000, Республика Адыгея, г. Майкоп, ул. Первомайская, дом №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655" w:type="dxa"/>
            <w:gridSpan w:val="2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аудитория для выполнения курсового и дипломного проектирования, научно-исследовательской работы обучающихся (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Лаборатория научно-методического проектирования: кафедра финансов и кредита, </w:t>
            </w:r>
            <w:proofErr w:type="spellStart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. 5-23 (Переносное мультимедийное оборудование, доска, мебель для аудиторий)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385000,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Адыгея, </w:t>
            </w:r>
          </w:p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 ул. Жуковского, 30.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655" w:type="dxa"/>
            <w:gridSpan w:val="2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Помещение для хранения и профилактического обслуживания учебного оборудования (1-318): Информационно-технический отдел: технические средства обучения, служащие для предоставления учебной информации большой аудитории.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385000, Республика Адыгея, г. Майкоп, ул. Первомайская, дом № 191</w:t>
            </w:r>
          </w:p>
        </w:tc>
      </w:tr>
      <w:tr w:rsidR="004F71FC" w:rsidRPr="00D21448" w:rsidTr="00D2144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1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655" w:type="dxa"/>
            <w:gridSpan w:val="2"/>
          </w:tcPr>
          <w:p w:rsidR="004F71FC" w:rsidRPr="00D21448" w:rsidRDefault="004F71FC" w:rsidP="004F71FC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Помещение для проведения мероприятий воспитательной направленности – актовый зал университета с акустическим и мультимедийным оборудованием</w:t>
            </w: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4F71FC" w:rsidRPr="00D21448" w:rsidRDefault="004F71FC" w:rsidP="004F71FC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448">
              <w:rPr>
                <w:rFonts w:ascii="Times New Roman" w:hAnsi="Times New Roman" w:cs="Times New Roman"/>
                <w:sz w:val="18"/>
                <w:szCs w:val="18"/>
              </w:rPr>
              <w:t>385000, Республика Адыгея, г. Майкоп, ул. Первомайская, дом № 191</w:t>
            </w:r>
          </w:p>
        </w:tc>
      </w:tr>
    </w:tbl>
    <w:p w:rsidR="006D2B61" w:rsidRDefault="006D2B61" w:rsidP="006D2B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2659" w:rsidRDefault="003D2A6E" w:rsidP="006D2B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2A6E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6.3pt;margin-top:3.8pt;width:55.25pt;height:36.2pt;z-index:-251658752">
            <v:imagedata r:id="rId6" o:title="" gain="2.5" blacklevel="-13107f"/>
          </v:shape>
          <o:OLEObject Type="Embed" ProgID="PBrush" ShapeID="_x0000_s1026" DrawAspect="Content" ObjectID="_1755724590" r:id="rId7"/>
        </w:pict>
      </w:r>
    </w:p>
    <w:p w:rsidR="00372659" w:rsidRDefault="00372659" w:rsidP="006D2B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2659" w:rsidRDefault="00372659" w:rsidP="006D2B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2B61" w:rsidRDefault="006D2B61" w:rsidP="006D2B61">
      <w:pPr>
        <w:spacing w:after="0" w:line="240" w:lineRule="auto"/>
        <w:rPr>
          <w:rFonts w:ascii="Times New Roman" w:hAnsi="Times New Roman"/>
          <w:kern w:val="0"/>
          <w:sz w:val="20"/>
          <w:szCs w:val="20"/>
          <w:u w:val="single"/>
        </w:rPr>
      </w:pPr>
      <w:r>
        <w:rPr>
          <w:rFonts w:ascii="Times New Roman" w:hAnsi="Times New Roman"/>
          <w:kern w:val="0"/>
          <w:sz w:val="20"/>
          <w:szCs w:val="20"/>
        </w:rPr>
        <w:t>Зав. выпускающей кафедрой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  <w:u w:val="single"/>
        </w:rPr>
        <w:tab/>
      </w:r>
      <w:r>
        <w:rPr>
          <w:rFonts w:ascii="Times New Roman" w:hAnsi="Times New Roman"/>
          <w:kern w:val="0"/>
          <w:sz w:val="20"/>
          <w:szCs w:val="20"/>
          <w:u w:val="single"/>
        </w:rPr>
        <w:tab/>
      </w:r>
      <w:r>
        <w:rPr>
          <w:rFonts w:ascii="Times New Roman" w:hAnsi="Times New Roman"/>
          <w:kern w:val="0"/>
          <w:sz w:val="20"/>
          <w:szCs w:val="20"/>
          <w:u w:val="single"/>
        </w:rPr>
        <w:tab/>
      </w:r>
      <w:r>
        <w:rPr>
          <w:rFonts w:ascii="Times New Roman" w:hAnsi="Times New Roman"/>
          <w:kern w:val="0"/>
          <w:sz w:val="20"/>
          <w:szCs w:val="20"/>
          <w:u w:val="single"/>
        </w:rPr>
        <w:tab/>
      </w:r>
      <w:r>
        <w:rPr>
          <w:rFonts w:ascii="Times New Roman" w:hAnsi="Times New Roman"/>
          <w:kern w:val="0"/>
          <w:sz w:val="20"/>
          <w:szCs w:val="20"/>
          <w:u w:val="single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  <w:u w:val="single"/>
        </w:rPr>
        <w:t>/</w:t>
      </w:r>
      <w:r>
        <w:rPr>
          <w:rFonts w:ascii="Times New Roman" w:hAnsi="Times New Roman"/>
          <w:kern w:val="0"/>
          <w:sz w:val="20"/>
          <w:szCs w:val="20"/>
          <w:u w:val="single"/>
        </w:rPr>
        <w:tab/>
        <w:t xml:space="preserve">Л.В. </w:t>
      </w:r>
      <w:proofErr w:type="spellStart"/>
      <w:r>
        <w:rPr>
          <w:rFonts w:ascii="Times New Roman" w:hAnsi="Times New Roman"/>
          <w:kern w:val="0"/>
          <w:sz w:val="20"/>
          <w:szCs w:val="20"/>
          <w:u w:val="single"/>
        </w:rPr>
        <w:t>Пригода</w:t>
      </w:r>
      <w:proofErr w:type="spellEnd"/>
      <w:r>
        <w:rPr>
          <w:rFonts w:ascii="Times New Roman" w:hAnsi="Times New Roman"/>
          <w:kern w:val="0"/>
          <w:sz w:val="20"/>
          <w:szCs w:val="20"/>
          <w:u w:val="single"/>
        </w:rPr>
        <w:tab/>
        <w:t>/</w:t>
      </w:r>
    </w:p>
    <w:p w:rsidR="006D2B61" w:rsidRDefault="006D2B61" w:rsidP="006D2B6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  <w:t xml:space="preserve">подпись </w:t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</w:r>
      <w:r>
        <w:rPr>
          <w:rFonts w:ascii="Times New Roman" w:hAnsi="Times New Roman"/>
          <w:kern w:val="0"/>
          <w:sz w:val="16"/>
          <w:szCs w:val="16"/>
        </w:rPr>
        <w:tab/>
        <w:t>Ф.И.О. полностью</w:t>
      </w:r>
    </w:p>
    <w:p w:rsidR="006D2B61" w:rsidRDefault="006D2B61" w:rsidP="006D2B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2659" w:rsidRDefault="00372659" w:rsidP="006D2B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7298" w:rsidRPr="00372659" w:rsidRDefault="00647298" w:rsidP="00372659">
      <w:pPr>
        <w:rPr>
          <w:rFonts w:ascii="Times New Roman" w:hAnsi="Times New Roman" w:cs="Times New Roman"/>
          <w:sz w:val="18"/>
          <w:szCs w:val="18"/>
        </w:rPr>
      </w:pPr>
    </w:p>
    <w:sectPr w:rsidR="00647298" w:rsidRPr="00372659" w:rsidSect="00D2144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0709"/>
    <w:multiLevelType w:val="multilevel"/>
    <w:tmpl w:val="1B085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61E"/>
    <w:rsid w:val="00020F09"/>
    <w:rsid w:val="00042B77"/>
    <w:rsid w:val="00057F9A"/>
    <w:rsid w:val="00132861"/>
    <w:rsid w:val="001B0865"/>
    <w:rsid w:val="001B364E"/>
    <w:rsid w:val="001D12DA"/>
    <w:rsid w:val="001D2EF4"/>
    <w:rsid w:val="0020576C"/>
    <w:rsid w:val="002B3964"/>
    <w:rsid w:val="002D4276"/>
    <w:rsid w:val="002F4C36"/>
    <w:rsid w:val="00307D08"/>
    <w:rsid w:val="00372659"/>
    <w:rsid w:val="00381D51"/>
    <w:rsid w:val="003D2A6E"/>
    <w:rsid w:val="004F71FC"/>
    <w:rsid w:val="00514AEF"/>
    <w:rsid w:val="00554354"/>
    <w:rsid w:val="00603535"/>
    <w:rsid w:val="00615273"/>
    <w:rsid w:val="006421F8"/>
    <w:rsid w:val="00647298"/>
    <w:rsid w:val="006619D5"/>
    <w:rsid w:val="00684415"/>
    <w:rsid w:val="006B661E"/>
    <w:rsid w:val="006D2B61"/>
    <w:rsid w:val="006F6B45"/>
    <w:rsid w:val="007832EC"/>
    <w:rsid w:val="0084602E"/>
    <w:rsid w:val="00860A38"/>
    <w:rsid w:val="00864CC2"/>
    <w:rsid w:val="008B0106"/>
    <w:rsid w:val="008B0D44"/>
    <w:rsid w:val="00952835"/>
    <w:rsid w:val="00952B32"/>
    <w:rsid w:val="00984BD2"/>
    <w:rsid w:val="009C10DA"/>
    <w:rsid w:val="00A13333"/>
    <w:rsid w:val="00A24B30"/>
    <w:rsid w:val="00A80BB0"/>
    <w:rsid w:val="00AB391F"/>
    <w:rsid w:val="00AD137B"/>
    <w:rsid w:val="00B637C5"/>
    <w:rsid w:val="00BD2112"/>
    <w:rsid w:val="00BF0450"/>
    <w:rsid w:val="00C06788"/>
    <w:rsid w:val="00C61AD7"/>
    <w:rsid w:val="00CA2D43"/>
    <w:rsid w:val="00CE3149"/>
    <w:rsid w:val="00D10D60"/>
    <w:rsid w:val="00D21448"/>
    <w:rsid w:val="00D3477E"/>
    <w:rsid w:val="00E230FB"/>
    <w:rsid w:val="00E23679"/>
    <w:rsid w:val="00E33372"/>
    <w:rsid w:val="00E36B59"/>
    <w:rsid w:val="00E45117"/>
    <w:rsid w:val="00EC6828"/>
    <w:rsid w:val="00ED655E"/>
    <w:rsid w:val="00EF3AB2"/>
    <w:rsid w:val="00F3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729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298"/>
    <w:pPr>
      <w:spacing w:after="0" w:line="240" w:lineRule="auto"/>
    </w:pPr>
  </w:style>
  <w:style w:type="character" w:customStyle="1" w:styleId="10">
    <w:name w:val="Основной текст1"/>
    <w:basedOn w:val="a0"/>
    <w:qFormat/>
    <w:rsid w:val="002F4C36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styleId="a5">
    <w:name w:val="List Paragraph"/>
    <w:basedOn w:val="a"/>
    <w:uiPriority w:val="99"/>
    <w:qFormat/>
    <w:rsid w:val="002F4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CE6E-06B3-4C45-AB9E-1E55F023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11422</Words>
  <Characters>65107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it</dc:creator>
  <cp:keywords/>
  <dc:description/>
  <cp:lastModifiedBy>1</cp:lastModifiedBy>
  <cp:revision>17</cp:revision>
  <cp:lastPrinted>2023-07-07T07:43:00Z</cp:lastPrinted>
  <dcterms:created xsi:type="dcterms:W3CDTF">2023-08-30T08:35:00Z</dcterms:created>
  <dcterms:modified xsi:type="dcterms:W3CDTF">2023-09-08T21:30:00Z</dcterms:modified>
</cp:coreProperties>
</file>